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Din 5008</w:t>
      </w:r>
    </w:p>
    <w:p>
      <w:r>
        <w:t>DIN 5008</w:t>
      </w:r>
    </w:p>
    <w:p>
      <w:r>
        <w:t>Erklärung der Form der Geschäftskorrespondenz in Deutschland.</w:t>
      </w:r>
    </w:p>
    <w:p>
      <w:r>
        <w:t>Wichtige Elemente:</w:t>
      </w:r>
    </w:p>
    <w:p>
      <w:r>
        <w:t>1. Absender</w:t>
      </w:r>
    </w:p>
    <w:p>
      <w:r>
        <w:t>2. Empfänger</w:t>
      </w:r>
    </w:p>
    <w:p>
      <w:r>
        <w:t>3. Betreffzeile</w:t>
      </w:r>
    </w:p>
    <w:p>
      <w:r>
        <w:t>4. Textkörper</w:t>
      </w:r>
    </w:p>
    <w:p>
      <w:r>
        <w:t>5. Anrede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