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Projektzeitachse</w:t>
      </w:r>
    </w:p>
    <w:p>
      <w:pPr>
        <w:jc w:val="left"/>
      </w:pPr>
      <w:r>
        <w:rPr>
          <w:sz w:val="24"/>
        </w:rPr>
        <w:t>Projektzeitachse – Marketingkampagne 2025</w:t>
        <w:br/>
        <w:br/>
        <w:t>Januar 2025:</w:t>
        <w:br/>
        <w:t>- Planung der Marketingstrategien</w:t>
        <w:br/>
        <w:t>- Auswahl der Werbepartner</w:t>
        <w:br/>
        <w:br/>
        <w:t>Februar 2025:</w:t>
        <w:br/>
        <w:t>- Durchführung der ersten Marketingkampagnen</w:t>
        <w:br/>
        <w:t>- Analyse der ersten Ergebnisse</w:t>
        <w:br/>
        <w:br/>
        <w:t>März 2025:</w:t>
        <w:br/>
        <w:t>- Anpassung der Strategie basierend auf den Ergebnissen</w:t>
        <w:br/>
        <w:t>- Erweiterung der Social-Media-Kampagnen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